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E3" w:rsidRDefault="004F69E3" w:rsidP="006608E0">
      <w:pPr>
        <w:pStyle w:val="Heading3"/>
      </w:pPr>
      <w:r>
        <w:t>2. ATTIVITA’ SVOLTE DAL GRUPPO CONTABILITA’</w:t>
      </w:r>
    </w:p>
    <w:p w:rsidR="004F69E3" w:rsidRDefault="004F69E3" w:rsidP="006608E0">
      <w:pPr>
        <w:pStyle w:val="NoSpacing"/>
      </w:pPr>
      <w:r>
        <w:t>Come richiesto, descriviamo sinteticamente le attività relative alla contabilità del GAS e come sono stati suddivisi i compiti all’interno del gruppo, al momento costituito da quattro persone.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Verificare sul conto corrente del GAS i bonifici ricevuti dai soci e registrarli in GoGas sui singoli borsellini.</w:t>
      </w:r>
    </w:p>
    <w:p w:rsidR="004F69E3" w:rsidRDefault="004F69E3" w:rsidP="006608E0">
      <w:pPr>
        <w:pStyle w:val="NoSpacing"/>
      </w:pPr>
      <w:r>
        <w:t>Uno dei referenti se ne occupa 1 volta a settimana, segnalando anche periodicamente via mail ai soci in debito, la necessità di effettuare un versamento.</w:t>
      </w:r>
    </w:p>
    <w:p w:rsidR="004F69E3" w:rsidRDefault="004F69E3" w:rsidP="006608E0">
      <w:pPr>
        <w:pStyle w:val="NoSpacing"/>
      </w:pPr>
      <w:r>
        <w:t xml:space="preserve">Nel 2025 ci sono stati inseriti più di 330 movimenti in ingresso sui borsellini. 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Per gli ordini NON AEQUOS:</w:t>
      </w:r>
    </w:p>
    <w:p w:rsidR="004F69E3" w:rsidRDefault="004F69E3" w:rsidP="006608E0">
      <w:pPr>
        <w:pStyle w:val="NoSpacing"/>
        <w:ind w:left="142" w:hanging="142"/>
      </w:pPr>
      <w:r>
        <w:t>- controllare la corrispondenza del valore degli ordini in GoGas con la relativa fattura del fornitore e, se necessario, sistemare i conti in collaborazione con il referente;</w:t>
      </w:r>
    </w:p>
    <w:p w:rsidR="004F69E3" w:rsidRDefault="004F69E3" w:rsidP="006608E0">
      <w:pPr>
        <w:pStyle w:val="NoSpacing"/>
        <w:ind w:left="142" w:hanging="142"/>
      </w:pPr>
      <w:r>
        <w:t>- per gli ordini con link esterno, registrare in GoGas gli importi da addebitare ai soci, nei casi in cui il referente dell’ordine non abbia già provveduto;</w:t>
      </w:r>
    </w:p>
    <w:p w:rsidR="004F69E3" w:rsidRDefault="004F69E3" w:rsidP="006608E0">
      <w:pPr>
        <w:pStyle w:val="NoSpacing"/>
      </w:pPr>
      <w:r>
        <w:t xml:space="preserve">- contabilizzare gli ordini; </w:t>
      </w:r>
    </w:p>
    <w:p w:rsidR="004F69E3" w:rsidRDefault="004F69E3" w:rsidP="006608E0">
      <w:pPr>
        <w:pStyle w:val="NoSpacing"/>
        <w:ind w:left="142" w:hanging="142"/>
      </w:pPr>
      <w:r>
        <w:t>- registrare sul drive nel file “Tabella Cassa GAS” l’importo dell’ordine complessivo addebitato ai soci, il nome del fornitore, il numero e la data della fattura e caricare la fattura stessa sempre sul drive.</w:t>
      </w:r>
    </w:p>
    <w:p w:rsidR="004F69E3" w:rsidRDefault="004F69E3" w:rsidP="006608E0">
      <w:pPr>
        <w:pStyle w:val="NoSpacing"/>
      </w:pPr>
      <w:r>
        <w:t>Due referenti condividono questa attività, secondo un calendario di rotazione degli incarchi.</w:t>
      </w:r>
    </w:p>
    <w:p w:rsidR="004F69E3" w:rsidRDefault="004F69E3" w:rsidP="006608E0">
      <w:pPr>
        <w:pStyle w:val="NoSpacing"/>
      </w:pPr>
      <w:r>
        <w:t>Nel 2025 sono state registrate 182 fatture di ordini NON AEQUOS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Per gli ordini AEQUOS:</w:t>
      </w:r>
    </w:p>
    <w:p w:rsidR="004F69E3" w:rsidRDefault="004F69E3" w:rsidP="006608E0">
      <w:pPr>
        <w:pStyle w:val="NoSpacing"/>
        <w:ind w:left="142" w:hanging="142"/>
      </w:pPr>
      <w:r>
        <w:t>- verificare la corrispondenza tra le bolle di spedizione e quanto consegnato, basandosi anche su quanto segnalato dagli smistatori il sabato e sulle indicazioni del gruppo Segnalazioni, comunicando ad Aequos eventuali discordanze;</w:t>
      </w:r>
    </w:p>
    <w:p w:rsidR="004F69E3" w:rsidRDefault="004F69E3" w:rsidP="006608E0">
      <w:pPr>
        <w:pStyle w:val="NoSpacing"/>
        <w:ind w:left="142" w:hanging="142"/>
      </w:pPr>
      <w:r>
        <w:t>- al ricevimento della fattura controllare la corrispondenza con quanto inserito in GoGas (ad esempio registrando eventuali sconti per la qualità) e contabilizzare;</w:t>
      </w:r>
    </w:p>
    <w:p w:rsidR="004F69E3" w:rsidRDefault="004F69E3" w:rsidP="006608E0">
      <w:pPr>
        <w:pStyle w:val="NoSpacing"/>
      </w:pPr>
      <w:r>
        <w:t>- registrare e caricare la fattura sul drive.</w:t>
      </w:r>
    </w:p>
    <w:p w:rsidR="004F69E3" w:rsidRDefault="004F69E3" w:rsidP="006608E0">
      <w:pPr>
        <w:pStyle w:val="NoSpacing"/>
      </w:pPr>
      <w:r>
        <w:t>Un referente se ne occupa settimanalmente.</w:t>
      </w:r>
    </w:p>
    <w:p w:rsidR="004F69E3" w:rsidRDefault="004F69E3" w:rsidP="006608E0">
      <w:pPr>
        <w:pStyle w:val="NoSpacing"/>
      </w:pPr>
      <w:r>
        <w:t>Nel 2025 sono state registrate 48 fatture di ordini AEQUOS.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Per tutti gli ordini:</w:t>
      </w:r>
    </w:p>
    <w:p w:rsidR="004F69E3" w:rsidRDefault="004F69E3" w:rsidP="006608E0">
      <w:pPr>
        <w:pStyle w:val="NoSpacing"/>
        <w:ind w:left="142" w:hanging="142"/>
      </w:pPr>
      <w:r>
        <w:t>- fare i pagamenti ai fornitori, controllando anagrafiche e requisiti bancari e registrarli su drive nella “Tabella Cassa GAS” in modo che, dal confronto con gli importi addebitati ai soci, risulti il credito/debito a carico della Cassa GAS;</w:t>
      </w:r>
    </w:p>
    <w:p w:rsidR="004F69E3" w:rsidRDefault="004F69E3" w:rsidP="006608E0">
      <w:pPr>
        <w:pStyle w:val="NoSpacing"/>
      </w:pPr>
      <w:r>
        <w:t>- per ogni pagamento inviare conferma al referente</w:t>
      </w:r>
    </w:p>
    <w:p w:rsidR="004F69E3" w:rsidRDefault="004F69E3" w:rsidP="006608E0">
      <w:pPr>
        <w:pStyle w:val="NoSpacing"/>
      </w:pPr>
      <w:r>
        <w:t>I due referenti che gestiscono gli ordini NON AEQUOS condividono questa attività, a rotazione.</w:t>
      </w:r>
    </w:p>
    <w:p w:rsidR="004F69E3" w:rsidRDefault="004F69E3" w:rsidP="006608E0">
      <w:pPr>
        <w:pStyle w:val="NoSpacing"/>
      </w:pPr>
      <w:r>
        <w:t>Nel 2025 sono stati fatti 230 bonifici.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Aggiornare la tabella “Cassa GAS e Aequos” riportando le registrazioni extra GoGas (iscrizioni, assicurazioni, spese bancarie, acquisto materiali ecc...)</w:t>
      </w:r>
    </w:p>
    <w:p w:rsidR="004F69E3" w:rsidRDefault="004F69E3" w:rsidP="006608E0">
      <w:pPr>
        <w:pStyle w:val="NoSpacing"/>
      </w:pPr>
      <w:r>
        <w:t>Ogni tre mesi controllare la corrispondenza tra l’estratto conto della banca e le registrazioni effettuate sul file in drive e il saldo dei borsellini in GoGas.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Nel complesso, l’impegno, anche così suddiviso, è settimanale, arrivando a occupare, nei mesi di giugno, luglio e dicembre anche più di un paio di ore a testa.</w:t>
      </w:r>
    </w:p>
    <w:p w:rsidR="004F69E3" w:rsidRDefault="004F69E3" w:rsidP="006608E0">
      <w:pPr>
        <w:pStyle w:val="NoSpacing"/>
      </w:pPr>
    </w:p>
    <w:p w:rsidR="004F69E3" w:rsidRDefault="004F69E3" w:rsidP="006608E0">
      <w:pPr>
        <w:pStyle w:val="NoSpacing"/>
      </w:pPr>
      <w:r>
        <w:t>Il gruppo contabilità</w:t>
      </w:r>
    </w:p>
    <w:p w:rsidR="004F69E3" w:rsidRDefault="004F69E3"/>
    <w:sectPr w:rsidR="004F69E3" w:rsidSect="004F6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8E0"/>
    <w:rsid w:val="004F69E3"/>
    <w:rsid w:val="0066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08E0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08E0"/>
    <w:rPr>
      <w:rFonts w:ascii="Calibri" w:hAnsi="Calibri" w:cs="Calibri"/>
      <w:b/>
      <w:bCs/>
      <w:color w:val="000000"/>
      <w:sz w:val="28"/>
      <w:szCs w:val="28"/>
      <w:lang w:val="it-IT" w:eastAsia="it-IT" w:bidi="ar-SA"/>
    </w:rPr>
  </w:style>
  <w:style w:type="paragraph" w:styleId="NoSpacing">
    <w:name w:val="No Spacing"/>
    <w:basedOn w:val="Normal"/>
    <w:uiPriority w:val="99"/>
    <w:qFormat/>
    <w:rsid w:val="006608E0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428</Words>
  <Characters>2440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Francesco</dc:creator>
  <cp:keywords/>
  <dc:description/>
  <cp:lastModifiedBy>Francesco</cp:lastModifiedBy>
  <cp:revision>1</cp:revision>
  <dcterms:created xsi:type="dcterms:W3CDTF">2026-02-11T07:02:00Z</dcterms:created>
  <dcterms:modified xsi:type="dcterms:W3CDTF">2026-02-11T07:03:00Z</dcterms:modified>
</cp:coreProperties>
</file>